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45" w:rsidRDefault="00540E83" w:rsidP="002B2828">
      <w:pPr>
        <w:ind w:left="-142"/>
        <w:jc w:val="center"/>
      </w:pPr>
      <w:r>
        <w:rPr>
          <w:rFonts w:ascii="Calibri" w:eastAsia="Calibri" w:hAnsi="Calibri"/>
          <w:noProof/>
          <w:sz w:val="18"/>
          <w:szCs w:val="18"/>
        </w:rPr>
        <w:drawing>
          <wp:inline distT="0" distB="0" distL="0" distR="0">
            <wp:extent cx="1819275" cy="69272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08" cy="75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A81" w:rsidRPr="00447D66" w:rsidRDefault="002B2828" w:rsidP="002B2828">
      <w:pPr>
        <w:jc w:val="center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</w:t>
      </w:r>
      <w:r w:rsidR="00B84A81" w:rsidRPr="00B84A81">
        <w:rPr>
          <w:rFonts w:ascii="Arial Black" w:hAnsi="Arial Black" w:cs="Arial"/>
          <w:sz w:val="22"/>
          <w:szCs w:val="22"/>
        </w:rPr>
        <w:t>CISL SCUOLA</w:t>
      </w:r>
      <w:r w:rsidR="008E42D9">
        <w:rPr>
          <w:rFonts w:ascii="Arial Black" w:hAnsi="Arial Black" w:cs="Arial"/>
          <w:sz w:val="22"/>
          <w:szCs w:val="22"/>
        </w:rPr>
        <w:t xml:space="preserve">  </w:t>
      </w:r>
      <w:r w:rsidR="00B84A81" w:rsidRPr="00B84A81">
        <w:rPr>
          <w:rFonts w:ascii="Arial Black" w:hAnsi="Arial Black" w:cs="Arial"/>
          <w:sz w:val="22"/>
          <w:szCs w:val="22"/>
        </w:rPr>
        <w:t>EMILIA CENTRALE</w:t>
      </w:r>
    </w:p>
    <w:p w:rsidR="00B84A81" w:rsidRPr="00870A6C" w:rsidRDefault="00DE6B77" w:rsidP="00870A6C">
      <w:pPr>
        <w:rPr>
          <w:rFonts w:asciiTheme="minorHAnsi" w:hAnsiTheme="minorHAnsi" w:cs="Arial"/>
          <w:sz w:val="20"/>
          <w:szCs w:val="20"/>
        </w:rPr>
      </w:pPr>
      <w:r w:rsidRPr="00870A6C">
        <w:rPr>
          <w:rFonts w:asciiTheme="minorHAnsi" w:hAnsiTheme="minorHAnsi" w:cs="Arial"/>
          <w:sz w:val="20"/>
          <w:szCs w:val="20"/>
        </w:rPr>
        <w:t>Segreteria Territoriale</w:t>
      </w:r>
      <w:r w:rsidR="00B84A81" w:rsidRPr="00870A6C">
        <w:rPr>
          <w:rFonts w:asciiTheme="minorHAnsi" w:hAnsiTheme="minorHAnsi" w:cs="Arial"/>
          <w:sz w:val="20"/>
          <w:szCs w:val="20"/>
        </w:rPr>
        <w:t xml:space="preserve"> </w:t>
      </w:r>
      <w:r w:rsidR="002B2828" w:rsidRPr="00870A6C">
        <w:rPr>
          <w:rFonts w:asciiTheme="minorHAnsi" w:hAnsiTheme="minorHAnsi" w:cs="Arial"/>
          <w:sz w:val="20"/>
          <w:szCs w:val="20"/>
        </w:rPr>
        <w:t>di R</w:t>
      </w:r>
      <w:r w:rsidRPr="00870A6C">
        <w:rPr>
          <w:rFonts w:asciiTheme="minorHAnsi" w:hAnsiTheme="minorHAnsi" w:cs="Arial"/>
          <w:sz w:val="20"/>
          <w:szCs w:val="20"/>
        </w:rPr>
        <w:t>eggio Emilia</w:t>
      </w:r>
      <w:r w:rsidR="002B2828" w:rsidRPr="00870A6C">
        <w:rPr>
          <w:rFonts w:asciiTheme="minorHAnsi" w:hAnsiTheme="minorHAnsi" w:cs="Arial"/>
          <w:sz w:val="20"/>
          <w:szCs w:val="20"/>
        </w:rPr>
        <w:t xml:space="preserve"> - </w:t>
      </w:r>
      <w:r w:rsidR="00B84A81" w:rsidRPr="00870A6C">
        <w:rPr>
          <w:rFonts w:asciiTheme="minorHAnsi" w:hAnsiTheme="minorHAnsi" w:cs="Arial"/>
          <w:sz w:val="20"/>
          <w:szCs w:val="20"/>
        </w:rPr>
        <w:t xml:space="preserve">Via Turri, 71 </w:t>
      </w:r>
      <w:r w:rsidR="002B2828" w:rsidRPr="00870A6C">
        <w:rPr>
          <w:rFonts w:asciiTheme="minorHAnsi" w:hAnsiTheme="minorHAnsi" w:cs="Arial"/>
          <w:sz w:val="20"/>
          <w:szCs w:val="20"/>
        </w:rPr>
        <w:t>-</w:t>
      </w:r>
      <w:r w:rsidR="00B84A81" w:rsidRPr="00870A6C">
        <w:rPr>
          <w:rFonts w:asciiTheme="minorHAnsi" w:hAnsiTheme="minorHAnsi" w:cs="Arial"/>
          <w:sz w:val="20"/>
          <w:szCs w:val="20"/>
        </w:rPr>
        <w:t xml:space="preserve"> 42121 REGGIO EMILIA</w:t>
      </w:r>
      <w:r w:rsidR="002B2828" w:rsidRPr="00870A6C">
        <w:rPr>
          <w:rFonts w:asciiTheme="minorHAnsi" w:hAnsiTheme="minorHAnsi" w:cs="Arial"/>
          <w:sz w:val="20"/>
          <w:szCs w:val="20"/>
        </w:rPr>
        <w:t xml:space="preserve">  </w:t>
      </w:r>
      <w:r w:rsidR="00870A6C">
        <w:rPr>
          <w:rFonts w:asciiTheme="minorHAnsi" w:hAnsiTheme="minorHAnsi" w:cs="Arial"/>
          <w:sz w:val="20"/>
          <w:szCs w:val="20"/>
        </w:rPr>
        <w:t xml:space="preserve"> </w:t>
      </w:r>
      <w:r w:rsidR="00B84A81" w:rsidRPr="00870A6C">
        <w:rPr>
          <w:rFonts w:asciiTheme="minorHAnsi" w:hAnsiTheme="minorHAnsi" w:cs="Arial"/>
          <w:sz w:val="20"/>
          <w:szCs w:val="20"/>
        </w:rPr>
        <w:t>Tel 0522/357465-466</w:t>
      </w:r>
      <w:r w:rsidRPr="00870A6C">
        <w:rPr>
          <w:rFonts w:asciiTheme="minorHAnsi" w:hAnsiTheme="minorHAnsi" w:cs="Arial"/>
          <w:sz w:val="20"/>
          <w:szCs w:val="20"/>
        </w:rPr>
        <w:t xml:space="preserve"> </w:t>
      </w:r>
      <w:r w:rsidR="00B84A81" w:rsidRPr="00870A6C">
        <w:rPr>
          <w:rFonts w:asciiTheme="minorHAnsi" w:hAnsiTheme="minorHAnsi" w:cs="Arial"/>
          <w:sz w:val="20"/>
          <w:szCs w:val="20"/>
        </w:rPr>
        <w:t xml:space="preserve"> </w:t>
      </w:r>
      <w:r w:rsidRPr="00870A6C">
        <w:rPr>
          <w:rFonts w:asciiTheme="minorHAnsi" w:hAnsiTheme="minorHAnsi" w:cs="Arial"/>
          <w:sz w:val="20"/>
          <w:szCs w:val="20"/>
        </w:rPr>
        <w:t>Fax 0522/357469</w:t>
      </w:r>
    </w:p>
    <w:p w:rsidR="00D53BAC" w:rsidRPr="00870A6C" w:rsidRDefault="00D53BAC" w:rsidP="002B2828">
      <w:pPr>
        <w:ind w:left="-426"/>
        <w:jc w:val="center"/>
        <w:rPr>
          <w:rFonts w:asciiTheme="minorHAnsi" w:hAnsiTheme="minorHAnsi" w:cs="Arial"/>
          <w:sz w:val="4"/>
          <w:szCs w:val="4"/>
        </w:rPr>
      </w:pPr>
    </w:p>
    <w:p w:rsidR="00E32EAC" w:rsidRDefault="00E32EAC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"/>
          <w:szCs w:val="4"/>
        </w:rPr>
      </w:pPr>
    </w:p>
    <w:p w:rsidR="00E32EAC" w:rsidRDefault="00E32EAC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"/>
          <w:szCs w:val="4"/>
        </w:rPr>
      </w:pPr>
    </w:p>
    <w:p w:rsidR="00D53BAC" w:rsidRPr="00D53BAC" w:rsidRDefault="00D53BAC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4"/>
          <w:szCs w:val="44"/>
        </w:rPr>
      </w:pPr>
      <w:r w:rsidRPr="00D53BAC">
        <w:rPr>
          <w:rFonts w:ascii="Britannic Bold" w:hAnsi="Britannic Bold" w:cs="Arial"/>
          <w:b/>
          <w:sz w:val="44"/>
          <w:szCs w:val="44"/>
        </w:rPr>
        <w:t>GRADUATORIE  AD ESAURIMENTO:</w:t>
      </w:r>
    </w:p>
    <w:p w:rsidR="00D53BAC" w:rsidRDefault="00D53BAC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4"/>
          <w:szCs w:val="44"/>
        </w:rPr>
      </w:pPr>
      <w:r w:rsidRPr="00D53BAC">
        <w:rPr>
          <w:rFonts w:ascii="Britannic Bold" w:hAnsi="Britannic Bold" w:cs="Arial"/>
          <w:b/>
          <w:sz w:val="44"/>
          <w:szCs w:val="44"/>
        </w:rPr>
        <w:t>AGGIORNAMENTO ED EVENTUALE REISERIMENTO</w:t>
      </w:r>
    </w:p>
    <w:p w:rsidR="001A78CB" w:rsidRDefault="001A78CB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0"/>
          <w:szCs w:val="40"/>
        </w:rPr>
      </w:pPr>
      <w:r w:rsidRPr="001A78CB">
        <w:rPr>
          <w:rFonts w:ascii="Britannic Bold" w:hAnsi="Britannic Bold" w:cs="Arial"/>
          <w:b/>
          <w:sz w:val="40"/>
          <w:szCs w:val="40"/>
        </w:rPr>
        <w:t xml:space="preserve">Scadenza </w:t>
      </w:r>
      <w:r w:rsidR="00074BA5">
        <w:rPr>
          <w:rFonts w:ascii="Britannic Bold" w:hAnsi="Britannic Bold" w:cs="Arial"/>
          <w:b/>
          <w:sz w:val="40"/>
          <w:szCs w:val="40"/>
        </w:rPr>
        <w:t xml:space="preserve">dalla presentazione </w:t>
      </w:r>
      <w:r w:rsidRPr="001A78CB">
        <w:rPr>
          <w:rFonts w:ascii="Britannic Bold" w:hAnsi="Britannic Bold" w:cs="Arial"/>
          <w:b/>
          <w:sz w:val="40"/>
          <w:szCs w:val="40"/>
        </w:rPr>
        <w:t xml:space="preserve">delle domande:  </w:t>
      </w:r>
    </w:p>
    <w:p w:rsidR="001A78CB" w:rsidRDefault="00074BA5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"/>
          <w:szCs w:val="4"/>
        </w:rPr>
      </w:pPr>
      <w:r>
        <w:rPr>
          <w:rFonts w:ascii="Britannic Bold" w:hAnsi="Britannic Bold" w:cs="Arial"/>
          <w:b/>
          <w:sz w:val="40"/>
          <w:szCs w:val="40"/>
        </w:rPr>
        <w:t xml:space="preserve"> 16 maggio 2019</w:t>
      </w:r>
      <w:r w:rsidR="001A78CB" w:rsidRPr="00074BA5">
        <w:rPr>
          <w:rFonts w:ascii="Britannic Bold" w:hAnsi="Britannic Bold" w:cs="Arial"/>
          <w:b/>
          <w:sz w:val="40"/>
          <w:szCs w:val="40"/>
        </w:rPr>
        <w:t xml:space="preserve">  </w:t>
      </w:r>
      <w:r w:rsidR="001A78CB" w:rsidRPr="00074BA5">
        <w:rPr>
          <w:rFonts w:ascii="Britannic Bold" w:hAnsi="Britannic Bold" w:cs="Arial"/>
          <w:b/>
          <w:sz w:val="36"/>
          <w:szCs w:val="36"/>
        </w:rPr>
        <w:t>(entro le ore 14,00</w:t>
      </w:r>
      <w:r w:rsidRPr="00074BA5">
        <w:rPr>
          <w:rFonts w:ascii="Britannic Bold" w:hAnsi="Britannic Bold" w:cs="Arial"/>
          <w:b/>
          <w:sz w:val="36"/>
          <w:szCs w:val="36"/>
        </w:rPr>
        <w:t>)</w:t>
      </w:r>
    </w:p>
    <w:p w:rsidR="00E32EAC" w:rsidRDefault="00E32EAC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"/>
          <w:szCs w:val="4"/>
        </w:rPr>
      </w:pPr>
    </w:p>
    <w:p w:rsidR="00E32EAC" w:rsidRDefault="00E32EAC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"/>
          <w:szCs w:val="4"/>
        </w:rPr>
      </w:pPr>
    </w:p>
    <w:p w:rsidR="00E32EAC" w:rsidRPr="00E32EAC" w:rsidRDefault="00E32EAC" w:rsidP="00D53B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426"/>
        <w:jc w:val="center"/>
        <w:rPr>
          <w:rFonts w:ascii="Britannic Bold" w:hAnsi="Britannic Bold" w:cs="Arial"/>
          <w:b/>
          <w:sz w:val="4"/>
          <w:szCs w:val="4"/>
        </w:rPr>
      </w:pPr>
    </w:p>
    <w:p w:rsidR="00D53BAC" w:rsidRDefault="00D53BAC" w:rsidP="00934D02">
      <w:pPr>
        <w:rPr>
          <w:rFonts w:asciiTheme="minorHAnsi" w:hAnsiTheme="minorHAnsi" w:cs="Arial"/>
          <w:sz w:val="22"/>
          <w:szCs w:val="22"/>
        </w:rPr>
      </w:pPr>
    </w:p>
    <w:p w:rsidR="00D53BAC" w:rsidRPr="00074BA5" w:rsidRDefault="00535F3A" w:rsidP="00D53BAC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Tahoma" w:hAnsi="Tahoma" w:cs="Tahoma"/>
          <w:b w:val="0"/>
          <w:bCs w:val="0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Il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Miur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>, in data 24 aprile scorso,  ha pubblicato</w:t>
      </w:r>
      <w:r w:rsidR="00D53BAC" w:rsidRPr="00D53BAC">
        <w:rPr>
          <w:rFonts w:ascii="Tahoma" w:hAnsi="Tahoma" w:cs="Tahoma"/>
          <w:color w:val="222222"/>
          <w:sz w:val="21"/>
          <w:szCs w:val="21"/>
        </w:rPr>
        <w:t xml:space="preserve"> il decreto in merito all’aggiornamento delle graduatorie ad esaurimento </w:t>
      </w:r>
      <w:r w:rsidR="00074BA5">
        <w:rPr>
          <w:rFonts w:ascii="Tahoma" w:hAnsi="Tahoma" w:cs="Tahoma"/>
          <w:color w:val="222222"/>
          <w:sz w:val="21"/>
          <w:szCs w:val="21"/>
        </w:rPr>
        <w:t xml:space="preserve"> </w:t>
      </w:r>
      <w:r w:rsidR="00D53BAC" w:rsidRPr="00D53BAC">
        <w:rPr>
          <w:rFonts w:ascii="Tahoma" w:hAnsi="Tahoma" w:cs="Tahoma"/>
          <w:color w:val="222222"/>
          <w:sz w:val="21"/>
          <w:szCs w:val="21"/>
        </w:rPr>
        <w:t>2019.</w:t>
      </w:r>
      <w:r w:rsidR="00074BA5">
        <w:rPr>
          <w:rFonts w:ascii="Tahoma" w:hAnsi="Tahoma" w:cs="Tahoma"/>
          <w:color w:val="222222"/>
          <w:sz w:val="21"/>
          <w:szCs w:val="21"/>
        </w:rPr>
        <w:t xml:space="preserve">    Nel bando  viene  precisato che  le </w:t>
      </w:r>
      <w:r w:rsidR="00D53BAC" w:rsidRPr="00D53BAC">
        <w:rPr>
          <w:rFonts w:ascii="Tahoma" w:hAnsi="Tahoma" w:cs="Tahoma"/>
          <w:color w:val="222222"/>
          <w:sz w:val="21"/>
          <w:szCs w:val="21"/>
        </w:rPr>
        <w:t xml:space="preserve"> domande </w:t>
      </w:r>
      <w:r w:rsidR="00074BA5">
        <w:rPr>
          <w:rFonts w:ascii="Tahoma" w:hAnsi="Tahoma" w:cs="Tahoma"/>
          <w:color w:val="222222"/>
          <w:sz w:val="21"/>
          <w:szCs w:val="21"/>
        </w:rPr>
        <w:t xml:space="preserve"> </w:t>
      </w:r>
      <w:r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possono </w:t>
      </w:r>
      <w:r w:rsidR="00074BA5"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 </w:t>
      </w:r>
      <w:r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essere </w:t>
      </w:r>
      <w:r w:rsidR="00074BA5"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 </w:t>
      </w:r>
      <w:r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presentate </w:t>
      </w:r>
      <w:r w:rsidR="00074BA5"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 </w:t>
      </w:r>
      <w:r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dal </w:t>
      </w:r>
      <w:r w:rsidRPr="00381897">
        <w:rPr>
          <w:rStyle w:val="Enfasigrassetto"/>
          <w:rFonts w:ascii="Tahoma" w:hAnsi="Tahoma" w:cs="Tahoma"/>
          <w:color w:val="222222"/>
          <w:sz w:val="21"/>
          <w:szCs w:val="21"/>
          <w:u w:val="double"/>
        </w:rPr>
        <w:t>26 aprile fino alle ore 14,00  del</w:t>
      </w:r>
      <w:r w:rsidR="00381897" w:rsidRPr="00381897">
        <w:rPr>
          <w:rStyle w:val="Enfasigrassetto"/>
          <w:rFonts w:ascii="Tahoma" w:hAnsi="Tahoma" w:cs="Tahoma"/>
          <w:color w:val="222222"/>
          <w:sz w:val="21"/>
          <w:szCs w:val="21"/>
          <w:u w:val="double"/>
        </w:rPr>
        <w:t xml:space="preserve"> 16 maggio 2019</w:t>
      </w:r>
      <w:r w:rsidR="00381897"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, </w:t>
      </w:r>
      <w:r w:rsidR="00074BA5"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 </w:t>
      </w:r>
      <w:r w:rsidR="00381897" w:rsidRPr="00074BA5">
        <w:rPr>
          <w:rStyle w:val="Enfasigrassetto"/>
          <w:rFonts w:ascii="Tahoma" w:hAnsi="Tahoma" w:cs="Tahoma"/>
          <w:b w:val="0"/>
          <w:color w:val="222222"/>
          <w:sz w:val="21"/>
          <w:szCs w:val="21"/>
        </w:rPr>
        <w:t>solamente  tra</w:t>
      </w:r>
      <w:r w:rsidR="00074BA5" w:rsidRPr="00074BA5">
        <w:rPr>
          <w:rStyle w:val="Enfasigrassetto"/>
          <w:rFonts w:ascii="Tahoma" w:hAnsi="Tahoma" w:cs="Tahoma"/>
          <w:b w:val="0"/>
          <w:color w:val="222222"/>
          <w:sz w:val="21"/>
          <w:szCs w:val="21"/>
        </w:rPr>
        <w:t>mite il sistema</w:t>
      </w:r>
      <w:r w:rsidR="00381897" w:rsidRPr="00074BA5">
        <w:rPr>
          <w:rStyle w:val="Enfasigrassetto"/>
          <w:rFonts w:ascii="Tahoma" w:hAnsi="Tahoma" w:cs="Tahoma"/>
          <w:b w:val="0"/>
          <w:color w:val="222222"/>
          <w:sz w:val="21"/>
          <w:szCs w:val="21"/>
        </w:rPr>
        <w:t xml:space="preserve"> Polis </w:t>
      </w:r>
      <w:r w:rsidR="00074BA5" w:rsidRPr="00074BA5">
        <w:rPr>
          <w:rStyle w:val="Enfasigrassetto"/>
          <w:rFonts w:ascii="Tahoma" w:hAnsi="Tahoma" w:cs="Tahoma"/>
          <w:b w:val="0"/>
          <w:color w:val="222222"/>
          <w:sz w:val="21"/>
          <w:szCs w:val="21"/>
        </w:rPr>
        <w:t xml:space="preserve">di Istanze on </w:t>
      </w:r>
      <w:proofErr w:type="spellStart"/>
      <w:r w:rsidR="00074BA5" w:rsidRPr="00074BA5">
        <w:rPr>
          <w:rStyle w:val="Enfasigrassetto"/>
          <w:rFonts w:ascii="Tahoma" w:hAnsi="Tahoma" w:cs="Tahoma"/>
          <w:b w:val="0"/>
          <w:color w:val="222222"/>
          <w:sz w:val="21"/>
          <w:szCs w:val="21"/>
        </w:rPr>
        <w:t>line</w:t>
      </w:r>
      <w:proofErr w:type="spellEnd"/>
      <w:r w:rsidR="00074BA5" w:rsidRPr="00074BA5">
        <w:rPr>
          <w:rStyle w:val="Enfasigrassetto"/>
          <w:rFonts w:ascii="Tahoma" w:hAnsi="Tahoma" w:cs="Tahoma"/>
          <w:b w:val="0"/>
          <w:color w:val="222222"/>
          <w:sz w:val="21"/>
          <w:szCs w:val="21"/>
        </w:rPr>
        <w:t xml:space="preserve"> </w:t>
      </w:r>
      <w:r w:rsidR="00074BA5"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  </w:t>
      </w:r>
      <w:r w:rsidR="00381897">
        <w:rPr>
          <w:rStyle w:val="Enfasigrassetto"/>
          <w:rFonts w:ascii="Tahoma" w:hAnsi="Tahoma" w:cs="Tahoma"/>
          <w:color w:val="222222"/>
          <w:sz w:val="21"/>
          <w:szCs w:val="21"/>
        </w:rPr>
        <w:t>(</w:t>
      </w:r>
      <w:r w:rsidR="00381897" w:rsidRPr="00381897">
        <w:rPr>
          <w:rStyle w:val="Enfasigrassetto"/>
          <w:rFonts w:ascii="Tahoma" w:hAnsi="Tahoma" w:cs="Tahoma"/>
          <w:color w:val="222222"/>
          <w:sz w:val="21"/>
          <w:szCs w:val="21"/>
          <w:u w:val="double"/>
        </w:rPr>
        <w:t xml:space="preserve">serve avere </w:t>
      </w:r>
      <w:proofErr w:type="spellStart"/>
      <w:r w:rsidR="00381897" w:rsidRPr="00381897">
        <w:rPr>
          <w:rStyle w:val="Enfasigrassetto"/>
          <w:rFonts w:ascii="Tahoma" w:hAnsi="Tahoma" w:cs="Tahoma"/>
          <w:color w:val="222222"/>
          <w:sz w:val="21"/>
          <w:szCs w:val="21"/>
          <w:u w:val="double"/>
        </w:rPr>
        <w:t>user</w:t>
      </w:r>
      <w:proofErr w:type="spellEnd"/>
      <w:r w:rsidR="00381897" w:rsidRPr="00381897">
        <w:rPr>
          <w:rStyle w:val="Enfasigrassetto"/>
          <w:rFonts w:ascii="Tahoma" w:hAnsi="Tahoma" w:cs="Tahoma"/>
          <w:color w:val="222222"/>
          <w:sz w:val="21"/>
          <w:szCs w:val="21"/>
          <w:u w:val="double"/>
        </w:rPr>
        <w:t xml:space="preserve"> </w:t>
      </w:r>
      <w:proofErr w:type="spellStart"/>
      <w:r w:rsidR="00381897" w:rsidRPr="00381897">
        <w:rPr>
          <w:rStyle w:val="Enfasigrassetto"/>
          <w:rFonts w:ascii="Tahoma" w:hAnsi="Tahoma" w:cs="Tahoma"/>
          <w:color w:val="222222"/>
          <w:sz w:val="21"/>
          <w:szCs w:val="21"/>
          <w:u w:val="double"/>
        </w:rPr>
        <w:t>name</w:t>
      </w:r>
      <w:proofErr w:type="spellEnd"/>
      <w:r w:rsidR="00381897" w:rsidRPr="00381897">
        <w:rPr>
          <w:rStyle w:val="Enfasigrassetto"/>
          <w:rFonts w:ascii="Tahoma" w:hAnsi="Tahoma" w:cs="Tahoma"/>
          <w:color w:val="222222"/>
          <w:sz w:val="21"/>
          <w:szCs w:val="21"/>
          <w:u w:val="double"/>
        </w:rPr>
        <w:t>, password e codice personale</w:t>
      </w:r>
      <w:r w:rsidR="00381897">
        <w:rPr>
          <w:rStyle w:val="Enfasigrassetto"/>
          <w:rFonts w:ascii="Tahoma" w:hAnsi="Tahoma" w:cs="Tahoma"/>
          <w:color w:val="222222"/>
          <w:sz w:val="21"/>
          <w:szCs w:val="21"/>
        </w:rPr>
        <w:t>)</w:t>
      </w:r>
    </w:p>
    <w:p w:rsidR="00535F3A" w:rsidRPr="00D53BAC" w:rsidRDefault="009661D5" w:rsidP="00D53BAC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noProof/>
          <w:color w:val="222222"/>
          <w:sz w:val="21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10.2pt;margin-top:5.9pt;width:126pt;height:51pt;z-index:251658240" strokeweight="3pt">
            <v:textbox>
              <w:txbxContent>
                <w:p w:rsidR="00934D02" w:rsidRPr="00934D02" w:rsidRDefault="00934D02">
                  <w:pPr>
                    <w:rPr>
                      <w:rFonts w:ascii="Arial Narrow" w:hAnsi="Arial Narrow"/>
                      <w:b/>
                    </w:rPr>
                  </w:pPr>
                  <w:r w:rsidRPr="00934D02">
                    <w:rPr>
                      <w:rFonts w:ascii="Arial Narrow" w:hAnsi="Arial Narrow"/>
                      <w:b/>
                    </w:rPr>
                    <w:t>Chi  riguarda?</w:t>
                  </w:r>
                </w:p>
              </w:txbxContent>
            </v:textbox>
          </v:shape>
        </w:pict>
      </w:r>
    </w:p>
    <w:p w:rsidR="00D53BAC" w:rsidRDefault="00D53BAC" w:rsidP="00934D02">
      <w:pPr>
        <w:pStyle w:val="NormaleWeb"/>
        <w:shd w:val="clear" w:color="auto" w:fill="FFFFFF"/>
        <w:spacing w:before="0" w:beforeAutospacing="0" w:after="0" w:afterAutospacing="0"/>
        <w:ind w:left="2552"/>
        <w:rPr>
          <w:rFonts w:ascii="Tahoma" w:hAnsi="Tahoma" w:cs="Tahoma"/>
          <w:color w:val="222222"/>
          <w:sz w:val="21"/>
          <w:szCs w:val="21"/>
        </w:rPr>
      </w:pPr>
      <w:r w:rsidRPr="00D53BAC">
        <w:rPr>
          <w:rFonts w:ascii="Tahoma" w:hAnsi="Tahoma" w:cs="Tahoma"/>
          <w:color w:val="222222"/>
          <w:sz w:val="21"/>
          <w:szCs w:val="21"/>
        </w:rPr>
        <w:t>Ricordiamo che l’</w:t>
      </w:r>
      <w:r w:rsidRPr="00D53BAC"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aggiornamento </w:t>
      </w:r>
      <w:proofErr w:type="spellStart"/>
      <w:r w:rsidRPr="00D53BAC">
        <w:rPr>
          <w:rStyle w:val="Enfasigrassetto"/>
          <w:rFonts w:ascii="Tahoma" w:hAnsi="Tahoma" w:cs="Tahoma"/>
          <w:color w:val="222222"/>
          <w:sz w:val="21"/>
          <w:szCs w:val="21"/>
        </w:rPr>
        <w:t>Gae</w:t>
      </w:r>
      <w:proofErr w:type="spellEnd"/>
      <w:r w:rsidRPr="00D53BAC">
        <w:rPr>
          <w:rStyle w:val="Enfasigrassetto"/>
          <w:rFonts w:ascii="Tahoma" w:hAnsi="Tahoma" w:cs="Tahoma"/>
          <w:color w:val="222222"/>
          <w:sz w:val="21"/>
          <w:szCs w:val="21"/>
        </w:rPr>
        <w:t xml:space="preserve"> 2019</w:t>
      </w:r>
      <w:r w:rsidRPr="00D53BAC">
        <w:rPr>
          <w:rFonts w:ascii="Tahoma" w:hAnsi="Tahoma" w:cs="Tahoma"/>
          <w:color w:val="222222"/>
          <w:sz w:val="21"/>
          <w:szCs w:val="21"/>
        </w:rPr>
        <w:t xml:space="preserve"> riguarda il </w:t>
      </w:r>
      <w:r w:rsidRPr="00934D02">
        <w:rPr>
          <w:rFonts w:ascii="Tahoma" w:hAnsi="Tahoma" w:cs="Tahoma"/>
          <w:color w:val="222222"/>
          <w:sz w:val="21"/>
          <w:szCs w:val="21"/>
          <w:u w:val="double"/>
        </w:rPr>
        <w:t>personale docente ed educativo abilitato</w:t>
      </w:r>
      <w:r w:rsidRPr="00D53BAC">
        <w:rPr>
          <w:rFonts w:ascii="Tahoma" w:hAnsi="Tahoma" w:cs="Tahoma"/>
          <w:color w:val="222222"/>
          <w:sz w:val="21"/>
          <w:szCs w:val="21"/>
        </w:rPr>
        <w:t xml:space="preserve">, </w:t>
      </w:r>
      <w:r w:rsidRPr="00BD6BBD">
        <w:rPr>
          <w:rFonts w:ascii="Tahoma" w:hAnsi="Tahoma" w:cs="Tahoma"/>
          <w:b/>
          <w:color w:val="FF0000"/>
          <w:sz w:val="21"/>
          <w:szCs w:val="21"/>
          <w:u w:val="double"/>
        </w:rPr>
        <w:t>già presente nelle stesse graduatorie</w:t>
      </w:r>
      <w:r w:rsidRPr="00D53BAC">
        <w:rPr>
          <w:rFonts w:ascii="Tahoma" w:hAnsi="Tahoma" w:cs="Tahoma"/>
          <w:color w:val="222222"/>
          <w:sz w:val="21"/>
          <w:szCs w:val="21"/>
        </w:rPr>
        <w:t xml:space="preserve"> e sarà valido per il triennio scolastico </w:t>
      </w:r>
      <w:r w:rsidRPr="00D53BAC">
        <w:rPr>
          <w:rStyle w:val="Enfasigrassetto"/>
          <w:rFonts w:ascii="Tahoma" w:hAnsi="Tahoma" w:cs="Tahoma"/>
          <w:color w:val="222222"/>
          <w:sz w:val="21"/>
          <w:szCs w:val="21"/>
        </w:rPr>
        <w:t>2019/2020, 2020/2021 e 2021/2022</w:t>
      </w:r>
      <w:r w:rsidRPr="00D53BAC">
        <w:rPr>
          <w:rFonts w:ascii="Tahoma" w:hAnsi="Tahoma" w:cs="Tahoma"/>
          <w:color w:val="222222"/>
          <w:sz w:val="21"/>
          <w:szCs w:val="21"/>
        </w:rPr>
        <w:t>.</w:t>
      </w:r>
    </w:p>
    <w:p w:rsidR="00535F3A" w:rsidRPr="00D53BAC" w:rsidRDefault="00535F3A" w:rsidP="00D53BAC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1"/>
          <w:szCs w:val="21"/>
        </w:rPr>
      </w:pPr>
    </w:p>
    <w:p w:rsidR="00D53BAC" w:rsidRDefault="00D53BAC" w:rsidP="00D53BAC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6"/>
          <w:szCs w:val="6"/>
        </w:rPr>
      </w:pPr>
      <w:r w:rsidRPr="00D53BAC">
        <w:rPr>
          <w:rFonts w:ascii="Tahoma" w:hAnsi="Tahoma" w:cs="Tahoma"/>
          <w:color w:val="222222"/>
          <w:sz w:val="21"/>
          <w:szCs w:val="21"/>
        </w:rPr>
        <w:t xml:space="preserve">Il personale, </w:t>
      </w:r>
      <w:r w:rsidRPr="00BD6BBD">
        <w:rPr>
          <w:rFonts w:ascii="Tahoma" w:hAnsi="Tahoma" w:cs="Tahoma"/>
          <w:b/>
          <w:color w:val="222222"/>
          <w:sz w:val="21"/>
          <w:szCs w:val="21"/>
          <w:u w:val="double"/>
        </w:rPr>
        <w:t>inserito a pieno titolo o con riserva</w:t>
      </w:r>
      <w:r w:rsidR="0089751D">
        <w:rPr>
          <w:rFonts w:ascii="Tahoma" w:hAnsi="Tahoma" w:cs="Tahoma"/>
          <w:color w:val="222222"/>
          <w:sz w:val="21"/>
          <w:szCs w:val="21"/>
        </w:rPr>
        <w:t xml:space="preserve">, nelle GAE </w:t>
      </w:r>
      <w:r w:rsidRPr="00D53BAC">
        <w:rPr>
          <w:rFonts w:ascii="Tahoma" w:hAnsi="Tahoma" w:cs="Tahoma"/>
          <w:color w:val="222222"/>
          <w:sz w:val="21"/>
          <w:szCs w:val="21"/>
        </w:rPr>
        <w:t xml:space="preserve"> </w:t>
      </w:r>
      <w:r w:rsidR="0089751D">
        <w:rPr>
          <w:rFonts w:ascii="Tahoma" w:hAnsi="Tahoma" w:cs="Tahoma"/>
          <w:color w:val="222222"/>
          <w:sz w:val="21"/>
          <w:szCs w:val="21"/>
        </w:rPr>
        <w:t>(</w:t>
      </w:r>
      <w:r w:rsidRPr="00D53BAC">
        <w:rPr>
          <w:rFonts w:ascii="Tahoma" w:hAnsi="Tahoma" w:cs="Tahoma"/>
          <w:color w:val="222222"/>
          <w:sz w:val="21"/>
          <w:szCs w:val="21"/>
        </w:rPr>
        <w:t>graduatorie ad esaurimento</w:t>
      </w:r>
      <w:r w:rsidR="0089751D">
        <w:rPr>
          <w:rFonts w:ascii="Tahoma" w:hAnsi="Tahoma" w:cs="Tahoma"/>
          <w:color w:val="222222"/>
          <w:sz w:val="21"/>
          <w:szCs w:val="21"/>
        </w:rPr>
        <w:t>)</w:t>
      </w:r>
      <w:r w:rsidRPr="00D53BAC">
        <w:rPr>
          <w:rFonts w:ascii="Tahoma" w:hAnsi="Tahoma" w:cs="Tahoma"/>
          <w:color w:val="222222"/>
          <w:sz w:val="21"/>
          <w:szCs w:val="21"/>
        </w:rPr>
        <w:t xml:space="preserve"> costituite in ogni provincia, </w:t>
      </w:r>
      <w:r w:rsidRPr="00EB4E68">
        <w:rPr>
          <w:rFonts w:ascii="Tahoma" w:hAnsi="Tahoma" w:cs="Tahoma"/>
          <w:color w:val="222222"/>
          <w:sz w:val="21"/>
          <w:szCs w:val="21"/>
          <w:u w:val="double"/>
        </w:rPr>
        <w:t>può chiedere</w:t>
      </w:r>
      <w:r w:rsidRPr="00D53BAC">
        <w:rPr>
          <w:rFonts w:ascii="Tahoma" w:hAnsi="Tahoma" w:cs="Tahoma"/>
          <w:color w:val="222222"/>
          <w:sz w:val="21"/>
          <w:szCs w:val="21"/>
        </w:rPr>
        <w:t>:</w:t>
      </w:r>
    </w:p>
    <w:p w:rsidR="00074BA5" w:rsidRDefault="00074BA5" w:rsidP="00D53BAC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6"/>
          <w:szCs w:val="6"/>
        </w:rPr>
      </w:pPr>
    </w:p>
    <w:p w:rsidR="00074BA5" w:rsidRPr="00074BA5" w:rsidRDefault="00074BA5" w:rsidP="00D53BAC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6"/>
          <w:szCs w:val="6"/>
        </w:rPr>
      </w:pPr>
    </w:p>
    <w:p w:rsidR="00D53BAC" w:rsidRPr="00D53BAC" w:rsidRDefault="009661D5" w:rsidP="00934D02">
      <w:pPr>
        <w:numPr>
          <w:ilvl w:val="0"/>
          <w:numId w:val="4"/>
        </w:numPr>
        <w:shd w:val="clear" w:color="auto" w:fill="FFFFFF"/>
        <w:ind w:left="2694"/>
        <w:rPr>
          <w:rFonts w:ascii="Tahoma" w:hAnsi="Tahoma" w:cs="Tahoma"/>
          <w:color w:val="444444"/>
          <w:sz w:val="21"/>
          <w:szCs w:val="21"/>
        </w:rPr>
      </w:pPr>
      <w:r w:rsidRPr="009661D5">
        <w:rPr>
          <w:rFonts w:ascii="Tahoma" w:hAnsi="Tahoma" w:cs="Tahoma"/>
          <w:b/>
          <w:noProof/>
          <w:color w:val="444444"/>
          <w:sz w:val="21"/>
          <w:szCs w:val="21"/>
        </w:rPr>
        <w:pict>
          <v:shape id="_x0000_s1027" type="#_x0000_t13" style="position:absolute;left:0;text-align:left;margin-left:19.8pt;margin-top:16.15pt;width:96pt;height:134.9pt;z-index:251659264" strokeweight="3pt">
            <v:textbox>
              <w:txbxContent>
                <w:p w:rsidR="00074BA5" w:rsidRDefault="00074BA5">
                  <w:pPr>
                    <w:rPr>
                      <w:rFonts w:ascii="Arial Narrow" w:hAnsi="Arial Narrow"/>
                      <w:b/>
                    </w:rPr>
                  </w:pPr>
                </w:p>
                <w:p w:rsidR="00BD6BBD" w:rsidRPr="00381897" w:rsidRDefault="00BD6BBD">
                  <w:pPr>
                    <w:rPr>
                      <w:rFonts w:ascii="Arial Narrow" w:hAnsi="Arial Narrow"/>
                      <w:b/>
                    </w:rPr>
                  </w:pPr>
                  <w:r w:rsidRPr="00381897">
                    <w:rPr>
                      <w:rFonts w:ascii="Arial Narrow" w:hAnsi="Arial Narrow"/>
                      <w:b/>
                    </w:rPr>
                    <w:t>Cosa si può chiedere?</w:t>
                  </w:r>
                </w:p>
              </w:txbxContent>
            </v:textbox>
          </v:shape>
        </w:pict>
      </w:r>
      <w:r w:rsidR="00D53BAC" w:rsidRPr="00BD6BBD">
        <w:rPr>
          <w:rFonts w:ascii="Tahoma" w:hAnsi="Tahoma" w:cs="Tahoma"/>
          <w:b/>
          <w:color w:val="444444"/>
          <w:sz w:val="21"/>
          <w:szCs w:val="21"/>
        </w:rPr>
        <w:t>la permanenza e/o l’aggiornamento</w:t>
      </w:r>
      <w:r w:rsidR="00D53BAC" w:rsidRPr="00D53BAC">
        <w:rPr>
          <w:rFonts w:ascii="Tahoma" w:hAnsi="Tahoma" w:cs="Tahoma"/>
          <w:color w:val="444444"/>
          <w:sz w:val="21"/>
          <w:szCs w:val="21"/>
        </w:rPr>
        <w:t xml:space="preserve"> del punteggio con cui è inserito in graduatoria;</w:t>
      </w:r>
    </w:p>
    <w:p w:rsidR="00D53BAC" w:rsidRPr="00D53BAC" w:rsidRDefault="009661D5" w:rsidP="00381897">
      <w:pPr>
        <w:numPr>
          <w:ilvl w:val="0"/>
          <w:numId w:val="4"/>
        </w:numPr>
        <w:shd w:val="clear" w:color="auto" w:fill="FFFFFF"/>
        <w:ind w:left="2694" w:right="425"/>
        <w:rPr>
          <w:rFonts w:ascii="Tahoma" w:hAnsi="Tahoma" w:cs="Tahoma"/>
          <w:color w:val="444444"/>
          <w:sz w:val="21"/>
          <w:szCs w:val="21"/>
        </w:rPr>
      </w:pPr>
      <w:r w:rsidRPr="009661D5">
        <w:rPr>
          <w:rFonts w:ascii="Tahoma" w:hAnsi="Tahoma" w:cs="Tahoma"/>
          <w:b/>
          <w:noProof/>
          <w:color w:val="444444"/>
          <w:sz w:val="21"/>
          <w:szCs w:val="21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469.05pt;margin-top:7.4pt;width:35.25pt;height:27pt;z-index:251660288" fillcolor="white [3201]" strokecolor="#c0504d [3205]" strokeweight="5pt">
            <v:stroke linestyle="thickThin"/>
            <v:shadow color="#868686"/>
            <v:textbox>
              <w:txbxContent>
                <w:p w:rsidR="00381897" w:rsidRDefault="00074BA5">
                  <w:r>
                    <w:t>!!!!</w:t>
                  </w:r>
                  <w:r w:rsidR="000F0BE9">
                    <w:t>!!!!!!!!</w:t>
                  </w:r>
                  <w:r w:rsidR="00381897">
                    <w:t>!</w:t>
                  </w:r>
                </w:p>
              </w:txbxContent>
            </v:textbox>
          </v:shape>
        </w:pict>
      </w:r>
      <w:r w:rsidR="00D53BAC" w:rsidRPr="00BD6BBD">
        <w:rPr>
          <w:rFonts w:ascii="Tahoma" w:hAnsi="Tahoma" w:cs="Tahoma"/>
          <w:b/>
          <w:color w:val="444444"/>
          <w:sz w:val="21"/>
          <w:szCs w:val="21"/>
        </w:rPr>
        <w:t>il reinserimento in graduatoria</w:t>
      </w:r>
      <w:r w:rsidR="00D53BAC" w:rsidRPr="00D53BAC">
        <w:rPr>
          <w:rFonts w:ascii="Tahoma" w:hAnsi="Tahoma" w:cs="Tahoma"/>
          <w:color w:val="444444"/>
          <w:sz w:val="21"/>
          <w:szCs w:val="21"/>
        </w:rPr>
        <w:t xml:space="preserve">, </w:t>
      </w:r>
      <w:r w:rsidR="0089751D">
        <w:rPr>
          <w:rFonts w:ascii="Tahoma" w:hAnsi="Tahoma" w:cs="Tahoma"/>
          <w:color w:val="444444"/>
          <w:sz w:val="21"/>
          <w:szCs w:val="21"/>
        </w:rPr>
        <w:t xml:space="preserve">(solo per coloro che, già inseriti in passato in </w:t>
      </w:r>
      <w:proofErr w:type="spellStart"/>
      <w:r w:rsidR="0089751D">
        <w:rPr>
          <w:rFonts w:ascii="Tahoma" w:hAnsi="Tahoma" w:cs="Tahoma"/>
          <w:color w:val="444444"/>
          <w:sz w:val="21"/>
          <w:szCs w:val="21"/>
        </w:rPr>
        <w:t>Gae</w:t>
      </w:r>
      <w:proofErr w:type="spellEnd"/>
      <w:r w:rsidR="0089751D">
        <w:rPr>
          <w:rFonts w:ascii="Tahoma" w:hAnsi="Tahoma" w:cs="Tahoma"/>
          <w:color w:val="444444"/>
          <w:sz w:val="21"/>
          <w:szCs w:val="21"/>
        </w:rPr>
        <w:t xml:space="preserve">, sono stati cancellati per non avere aggiornato la graduatoria) </w:t>
      </w:r>
      <w:r w:rsidR="00D53BAC" w:rsidRPr="00D53BAC">
        <w:rPr>
          <w:rFonts w:ascii="Tahoma" w:hAnsi="Tahoma" w:cs="Tahoma"/>
          <w:color w:val="444444"/>
          <w:sz w:val="21"/>
          <w:szCs w:val="21"/>
        </w:rPr>
        <w:t>con il recupero del punteggio maturato all’atto della cancellazione per non aver presentato domanda di permanenza e/o aggiornamento nei bienni/trienni precedenti;</w:t>
      </w:r>
      <w:r w:rsidR="007403EB">
        <w:rPr>
          <w:rFonts w:ascii="Tahoma" w:hAnsi="Tahoma" w:cs="Tahoma"/>
          <w:color w:val="444444"/>
          <w:sz w:val="21"/>
          <w:szCs w:val="21"/>
        </w:rPr>
        <w:t xml:space="preserve"> i docenti che richiedono il reinserimento dovranno aggiungere solo i servizi </w:t>
      </w:r>
    </w:p>
    <w:p w:rsidR="00D53BAC" w:rsidRPr="00D53BAC" w:rsidRDefault="00D53BAC" w:rsidP="00934D02">
      <w:pPr>
        <w:numPr>
          <w:ilvl w:val="0"/>
          <w:numId w:val="4"/>
        </w:numPr>
        <w:shd w:val="clear" w:color="auto" w:fill="FFFFFF"/>
        <w:ind w:left="2694"/>
        <w:rPr>
          <w:rFonts w:ascii="Tahoma" w:hAnsi="Tahoma" w:cs="Tahoma"/>
          <w:color w:val="444444"/>
          <w:sz w:val="21"/>
          <w:szCs w:val="21"/>
        </w:rPr>
      </w:pPr>
      <w:r w:rsidRPr="00BD6BBD">
        <w:rPr>
          <w:rFonts w:ascii="Tahoma" w:hAnsi="Tahoma" w:cs="Tahoma"/>
          <w:b/>
          <w:color w:val="444444"/>
          <w:sz w:val="21"/>
          <w:szCs w:val="21"/>
        </w:rPr>
        <w:t>la conferma dell’iscrizione con riserva</w:t>
      </w:r>
      <w:r w:rsidRPr="00D53BAC">
        <w:rPr>
          <w:rFonts w:ascii="Tahoma" w:hAnsi="Tahoma" w:cs="Tahoma"/>
          <w:color w:val="444444"/>
          <w:sz w:val="21"/>
          <w:szCs w:val="21"/>
        </w:rPr>
        <w:t xml:space="preserve"> o </w:t>
      </w:r>
      <w:r w:rsidRPr="00BD6BBD">
        <w:rPr>
          <w:rFonts w:ascii="Tahoma" w:hAnsi="Tahoma" w:cs="Tahoma"/>
          <w:b/>
          <w:color w:val="444444"/>
          <w:sz w:val="21"/>
          <w:szCs w:val="21"/>
        </w:rPr>
        <w:t>lo scioglimento della stessa</w:t>
      </w:r>
      <w:r w:rsidRPr="00D53BAC">
        <w:rPr>
          <w:rFonts w:ascii="Tahoma" w:hAnsi="Tahoma" w:cs="Tahoma"/>
          <w:color w:val="444444"/>
          <w:sz w:val="21"/>
          <w:szCs w:val="21"/>
        </w:rPr>
        <w:t>;</w:t>
      </w:r>
    </w:p>
    <w:p w:rsidR="00D53BAC" w:rsidRDefault="00D53BAC" w:rsidP="00934D02">
      <w:pPr>
        <w:numPr>
          <w:ilvl w:val="0"/>
          <w:numId w:val="4"/>
        </w:numPr>
        <w:shd w:val="clear" w:color="auto" w:fill="FFFFFF"/>
        <w:ind w:left="2694"/>
        <w:rPr>
          <w:rFonts w:ascii="Tahoma" w:hAnsi="Tahoma" w:cs="Tahoma"/>
          <w:color w:val="444444"/>
          <w:sz w:val="21"/>
          <w:szCs w:val="21"/>
        </w:rPr>
      </w:pPr>
      <w:r w:rsidRPr="00381897">
        <w:rPr>
          <w:rFonts w:ascii="Tahoma" w:hAnsi="Tahoma" w:cs="Tahoma"/>
          <w:b/>
          <w:color w:val="444444"/>
          <w:sz w:val="21"/>
          <w:szCs w:val="21"/>
        </w:rPr>
        <w:t>il trasferimento da una provincia ad un’altra</w:t>
      </w:r>
      <w:r w:rsidRPr="00D53BAC">
        <w:rPr>
          <w:rFonts w:ascii="Tahoma" w:hAnsi="Tahoma" w:cs="Tahoma"/>
          <w:color w:val="444444"/>
          <w:sz w:val="21"/>
          <w:szCs w:val="21"/>
        </w:rPr>
        <w:t xml:space="preserve"> nella quale verrà collocato, per ciascuna delle graduatorie di inclusione, anche con riserva, nella corrispondente fascia di appartenenza con il punteggio spettante, </w:t>
      </w:r>
      <w:r w:rsidR="001A78CB">
        <w:rPr>
          <w:rFonts w:ascii="Tahoma" w:hAnsi="Tahoma" w:cs="Tahoma"/>
          <w:color w:val="444444"/>
          <w:sz w:val="21"/>
          <w:szCs w:val="21"/>
        </w:rPr>
        <w:t>provincia potrà essere richiesto anche se nella provincia di destinaz</w:t>
      </w:r>
      <w:r w:rsidR="00074BA5">
        <w:rPr>
          <w:rFonts w:ascii="Tahoma" w:hAnsi="Tahoma" w:cs="Tahoma"/>
          <w:color w:val="444444"/>
          <w:sz w:val="21"/>
          <w:szCs w:val="21"/>
        </w:rPr>
        <w:t>ione le graduatorie dovessero risultare</w:t>
      </w:r>
      <w:r w:rsidR="001A78CB">
        <w:rPr>
          <w:rFonts w:ascii="Tahoma" w:hAnsi="Tahoma" w:cs="Tahoma"/>
          <w:color w:val="444444"/>
          <w:sz w:val="21"/>
          <w:szCs w:val="21"/>
        </w:rPr>
        <w:t xml:space="preserve"> esaurite.</w:t>
      </w:r>
    </w:p>
    <w:p w:rsidR="00074BA5" w:rsidRPr="000B714B" w:rsidRDefault="00074BA5" w:rsidP="00074BA5">
      <w:pPr>
        <w:shd w:val="clear" w:color="auto" w:fill="FFFFFF"/>
        <w:rPr>
          <w:rFonts w:ascii="Tahoma" w:hAnsi="Tahoma" w:cs="Tahoma"/>
          <w:color w:val="444444"/>
          <w:sz w:val="6"/>
          <w:szCs w:val="6"/>
        </w:rPr>
      </w:pPr>
    </w:p>
    <w:p w:rsidR="000B714B" w:rsidRPr="000B714B" w:rsidRDefault="007403EB" w:rsidP="0089751D">
      <w:pPr>
        <w:shd w:val="clear" w:color="auto" w:fill="FFFFFF"/>
        <w:ind w:left="-426" w:right="-284"/>
        <w:jc w:val="center"/>
        <w:rPr>
          <w:rFonts w:ascii="Tahoma" w:hAnsi="Tahoma" w:cs="Tahoma"/>
          <w:color w:val="444444"/>
          <w:sz w:val="20"/>
          <w:szCs w:val="20"/>
        </w:rPr>
      </w:pPr>
      <w:r w:rsidRPr="000B714B">
        <w:rPr>
          <w:rFonts w:ascii="Tahoma" w:hAnsi="Tahoma" w:cs="Tahoma"/>
          <w:color w:val="444444"/>
          <w:sz w:val="20"/>
          <w:szCs w:val="20"/>
        </w:rPr>
        <w:t>La mancata presentazione della domanda c</w:t>
      </w:r>
      <w:r w:rsidR="00074BA5" w:rsidRPr="000B714B">
        <w:rPr>
          <w:rFonts w:ascii="Tahoma" w:hAnsi="Tahoma" w:cs="Tahoma"/>
          <w:color w:val="444444"/>
          <w:sz w:val="20"/>
          <w:szCs w:val="20"/>
        </w:rPr>
        <w:t>omporta la cancellazione dalla graduatoria solo per il triennio di vig</w:t>
      </w:r>
      <w:r w:rsidR="00EB4E68" w:rsidRPr="000B714B">
        <w:rPr>
          <w:rFonts w:ascii="Tahoma" w:hAnsi="Tahoma" w:cs="Tahoma"/>
          <w:color w:val="444444"/>
          <w:sz w:val="20"/>
          <w:szCs w:val="20"/>
        </w:rPr>
        <w:t>enza delle graduatorie stesse e</w:t>
      </w:r>
      <w:r w:rsidR="00074BA5" w:rsidRPr="000B714B">
        <w:rPr>
          <w:rFonts w:ascii="Tahoma" w:hAnsi="Tahoma" w:cs="Tahoma"/>
          <w:color w:val="444444"/>
          <w:sz w:val="20"/>
          <w:szCs w:val="20"/>
        </w:rPr>
        <w:t xml:space="preserve"> alla successiva riapertura </w:t>
      </w:r>
      <w:r w:rsidR="00EB4E68" w:rsidRPr="000B714B">
        <w:rPr>
          <w:rFonts w:ascii="Tahoma" w:hAnsi="Tahoma" w:cs="Tahoma"/>
          <w:color w:val="444444"/>
          <w:sz w:val="20"/>
          <w:szCs w:val="20"/>
        </w:rPr>
        <w:t xml:space="preserve">sarà </w:t>
      </w:r>
      <w:r w:rsidR="00074BA5" w:rsidRPr="000B714B">
        <w:rPr>
          <w:rFonts w:ascii="Tahoma" w:hAnsi="Tahoma" w:cs="Tahoma"/>
          <w:color w:val="444444"/>
          <w:sz w:val="20"/>
          <w:szCs w:val="20"/>
        </w:rPr>
        <w:t xml:space="preserve"> possibile chiedere di esservi nuovamente inseriti.</w:t>
      </w:r>
    </w:p>
    <w:p w:rsidR="00D53BAC" w:rsidRPr="00F4105F" w:rsidRDefault="00F4105F" w:rsidP="00F41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rFonts w:asciiTheme="minorHAnsi" w:hAnsiTheme="minorHAnsi" w:cs="Arial"/>
          <w:i/>
          <w:sz w:val="28"/>
          <w:szCs w:val="28"/>
        </w:rPr>
      </w:pPr>
      <w:r>
        <w:rPr>
          <w:rFonts w:asciiTheme="minorHAnsi" w:hAnsiTheme="minorHAnsi" w:cs="Arial"/>
          <w:i/>
          <w:sz w:val="28"/>
          <w:szCs w:val="28"/>
        </w:rPr>
        <w:t xml:space="preserve">                    S</w:t>
      </w:r>
      <w:r w:rsidR="001A78CB" w:rsidRPr="007403EB">
        <w:rPr>
          <w:rFonts w:asciiTheme="minorHAnsi" w:hAnsiTheme="minorHAnsi" w:cs="Arial"/>
          <w:i/>
          <w:sz w:val="28"/>
          <w:szCs w:val="28"/>
        </w:rPr>
        <w:t>celta delle sedi ai fini della graduatorie di circolo e di istituto di 1° fascia</w:t>
      </w:r>
    </w:p>
    <w:p w:rsidR="00F4105F" w:rsidRDefault="00F4105F" w:rsidP="00F41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</w:t>
      </w:r>
      <w:r w:rsidR="00074BA5" w:rsidRPr="007403EB">
        <w:rPr>
          <w:rFonts w:asciiTheme="minorHAnsi" w:hAnsiTheme="minorHAnsi" w:cs="Arial"/>
          <w:b/>
        </w:rPr>
        <w:t>La s</w:t>
      </w:r>
      <w:r w:rsidR="001A78CB" w:rsidRPr="007403EB">
        <w:rPr>
          <w:rFonts w:asciiTheme="minorHAnsi" w:hAnsiTheme="minorHAnsi" w:cs="Arial"/>
          <w:b/>
        </w:rPr>
        <w:t>celta della provincia e delle sedi per la 1</w:t>
      </w:r>
      <w:r w:rsidR="007403EB">
        <w:rPr>
          <w:rFonts w:asciiTheme="minorHAnsi" w:hAnsiTheme="minorHAnsi" w:cs="Arial"/>
          <w:b/>
        </w:rPr>
        <w:t>° fascia (Allegato “B”) dovrà essere presentata</w:t>
      </w:r>
      <w:r w:rsidR="001A78CB" w:rsidRPr="007403EB">
        <w:rPr>
          <w:rFonts w:asciiTheme="minorHAnsi" w:hAnsiTheme="minorHAnsi" w:cs="Arial"/>
          <w:b/>
        </w:rPr>
        <w:t xml:space="preserve"> sempre </w:t>
      </w:r>
      <w:r>
        <w:rPr>
          <w:rFonts w:asciiTheme="minorHAnsi" w:hAnsiTheme="minorHAnsi" w:cs="Arial"/>
          <w:b/>
        </w:rPr>
        <w:t xml:space="preserve">    </w:t>
      </w:r>
    </w:p>
    <w:p w:rsidR="00D53BAC" w:rsidRDefault="00F4105F" w:rsidP="00F41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</w:t>
      </w:r>
      <w:r w:rsidR="001A78CB" w:rsidRPr="007403EB">
        <w:rPr>
          <w:rFonts w:asciiTheme="minorHAnsi" w:hAnsiTheme="minorHAnsi" w:cs="Arial"/>
          <w:b/>
        </w:rPr>
        <w:t>in modalità te</w:t>
      </w:r>
      <w:r w:rsidR="007403EB">
        <w:rPr>
          <w:rFonts w:asciiTheme="minorHAnsi" w:hAnsiTheme="minorHAnsi" w:cs="Arial"/>
          <w:b/>
        </w:rPr>
        <w:t>le</w:t>
      </w:r>
      <w:r w:rsidR="001A78CB" w:rsidRPr="007403EB">
        <w:rPr>
          <w:rFonts w:asciiTheme="minorHAnsi" w:hAnsiTheme="minorHAnsi" w:cs="Arial"/>
          <w:b/>
        </w:rPr>
        <w:t xml:space="preserve">matica </w:t>
      </w:r>
      <w:r w:rsidR="001A78CB" w:rsidRPr="007403EB">
        <w:rPr>
          <w:rFonts w:asciiTheme="minorHAnsi" w:hAnsiTheme="minorHAnsi" w:cs="Arial"/>
          <w:b/>
          <w:u w:val="double"/>
        </w:rPr>
        <w:t>nel periodo compreso tra il 15 luglio ed il 29 luglio 2019</w:t>
      </w:r>
      <w:r w:rsidR="007403EB">
        <w:rPr>
          <w:rFonts w:asciiTheme="minorHAnsi" w:hAnsiTheme="minorHAnsi" w:cs="Arial"/>
          <w:b/>
        </w:rPr>
        <w:t xml:space="preserve"> (</w:t>
      </w:r>
      <w:r w:rsidR="001A78CB" w:rsidRPr="007403EB">
        <w:rPr>
          <w:rFonts w:asciiTheme="minorHAnsi" w:hAnsiTheme="minorHAnsi" w:cs="Arial"/>
          <w:b/>
        </w:rPr>
        <w:t xml:space="preserve"> entro le ore 14,00)</w:t>
      </w:r>
    </w:p>
    <w:p w:rsidR="00F4105F" w:rsidRDefault="009661D5" w:rsidP="00D53BA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pict>
          <v:rect id="_x0000_s1034" style="position:absolute;margin-left:372.3pt;margin-top:10.65pt;width:149.25pt;height:110.65pt;z-index:251664384">
            <v:textbox>
              <w:txbxContent>
                <w:p w:rsidR="00F4105F" w:rsidRPr="00870A6C" w:rsidRDefault="00870A6C" w:rsidP="000B714B">
                  <w:pPr>
                    <w:jc w:val="center"/>
                    <w:rPr>
                      <w:b/>
                    </w:rPr>
                  </w:pPr>
                  <w:r w:rsidRPr="00E32EAC">
                    <w:rPr>
                      <w:b/>
                      <w:u w:val="single"/>
                    </w:rPr>
                    <w:t>I docenti in possesso di diploma magistrale con sentenza sfavorevole</w:t>
                  </w:r>
                  <w:r w:rsidRPr="00870A6C">
                    <w:rPr>
                      <w:b/>
                    </w:rPr>
                    <w:t>:</w:t>
                  </w:r>
                </w:p>
                <w:p w:rsidR="000B714B" w:rsidRDefault="000B714B">
                  <w:pPr>
                    <w:rPr>
                      <w:i/>
                      <w:sz w:val="4"/>
                      <w:szCs w:val="4"/>
                    </w:rPr>
                  </w:pPr>
                </w:p>
                <w:p w:rsidR="00E32EAC" w:rsidRDefault="00E32EAC">
                  <w:pPr>
                    <w:rPr>
                      <w:i/>
                      <w:sz w:val="4"/>
                      <w:szCs w:val="4"/>
                    </w:rPr>
                  </w:pPr>
                </w:p>
                <w:p w:rsidR="00E32EAC" w:rsidRDefault="00E32EAC">
                  <w:pPr>
                    <w:rPr>
                      <w:i/>
                      <w:sz w:val="4"/>
                      <w:szCs w:val="4"/>
                    </w:rPr>
                  </w:pPr>
                </w:p>
                <w:p w:rsidR="00E32EAC" w:rsidRDefault="00E32EAC">
                  <w:pPr>
                    <w:rPr>
                      <w:i/>
                      <w:sz w:val="4"/>
                      <w:szCs w:val="4"/>
                    </w:rPr>
                  </w:pPr>
                </w:p>
                <w:p w:rsidR="00E32EAC" w:rsidRPr="00E32EAC" w:rsidRDefault="00E32EAC">
                  <w:pPr>
                    <w:rPr>
                      <w:i/>
                      <w:sz w:val="4"/>
                      <w:szCs w:val="4"/>
                    </w:rPr>
                  </w:pPr>
                </w:p>
                <w:p w:rsidR="00870A6C" w:rsidRPr="00870A6C" w:rsidRDefault="00870A6C" w:rsidP="000B714B">
                  <w:pPr>
                    <w:jc w:val="center"/>
                    <w:rPr>
                      <w:i/>
                    </w:rPr>
                  </w:pPr>
                  <w:r w:rsidRPr="00870A6C">
                    <w:rPr>
                      <w:i/>
                    </w:rPr>
                    <w:t>non potranno presentare domanda</w:t>
                  </w:r>
                  <w:r>
                    <w:rPr>
                      <w:i/>
                    </w:rPr>
                    <w:t xml:space="preserve"> di</w:t>
                  </w:r>
                  <w:r w:rsidRPr="00870A6C">
                    <w:rPr>
                      <w:i/>
                    </w:rPr>
                    <w:t xml:space="preserve"> aggiornamento (nemmeno con riserva)</w:t>
                  </w:r>
                </w:p>
                <w:p w:rsidR="00870A6C" w:rsidRPr="00870A6C" w:rsidRDefault="00870A6C">
                  <w:pPr>
                    <w:rPr>
                      <w:i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color w:val="333333"/>
          <w:sz w:val="21"/>
          <w:szCs w:val="21"/>
        </w:rPr>
        <w:pict>
          <v:rect id="_x0000_s1031" style="position:absolute;margin-left:-39.45pt;margin-top:10.65pt;width:177.75pt;height:110.65pt;z-index:251661312">
            <v:textbox>
              <w:txbxContent>
                <w:p w:rsidR="00F4105F" w:rsidRPr="00E32EAC" w:rsidRDefault="00F4105F">
                  <w:pPr>
                    <w:rPr>
                      <w:b/>
                      <w:u w:val="single"/>
                    </w:rPr>
                  </w:pPr>
                  <w:r w:rsidRPr="00E32EAC">
                    <w:rPr>
                      <w:b/>
                      <w:u w:val="single"/>
                    </w:rPr>
                    <w:t>I  docenti iscritti nelle GAE</w:t>
                  </w:r>
                  <w:r w:rsidR="00870A6C" w:rsidRPr="00E32EAC">
                    <w:rPr>
                      <w:b/>
                      <w:u w:val="single"/>
                    </w:rPr>
                    <w:t>:</w:t>
                  </w:r>
                </w:p>
                <w:p w:rsidR="00E32EAC" w:rsidRDefault="00E32EAC" w:rsidP="000B714B">
                  <w:pPr>
                    <w:jc w:val="center"/>
                    <w:rPr>
                      <w:i/>
                      <w:sz w:val="4"/>
                      <w:szCs w:val="4"/>
                    </w:rPr>
                  </w:pPr>
                </w:p>
                <w:p w:rsidR="00E32EAC" w:rsidRDefault="00E32EAC" w:rsidP="000B714B">
                  <w:pPr>
                    <w:jc w:val="center"/>
                    <w:rPr>
                      <w:i/>
                      <w:sz w:val="4"/>
                      <w:szCs w:val="4"/>
                    </w:rPr>
                  </w:pPr>
                </w:p>
                <w:p w:rsidR="00E32EAC" w:rsidRDefault="00E32EAC" w:rsidP="000B714B">
                  <w:pPr>
                    <w:jc w:val="center"/>
                    <w:rPr>
                      <w:i/>
                      <w:sz w:val="4"/>
                      <w:szCs w:val="4"/>
                    </w:rPr>
                  </w:pPr>
                </w:p>
                <w:p w:rsidR="00870A6C" w:rsidRPr="00870A6C" w:rsidRDefault="00870A6C" w:rsidP="000B714B">
                  <w:pPr>
                    <w:jc w:val="center"/>
                    <w:rPr>
                      <w:i/>
                    </w:rPr>
                  </w:pPr>
                  <w:r w:rsidRPr="00870A6C">
                    <w:rPr>
                      <w:i/>
                    </w:rPr>
                    <w:t>potranno aggiornare il loro punteggio con titoli e servizi acquisiti dopo il 14 maggio 2014. Si possono dichiarare titoli e servizi precedenti a tale data solo se mai dichiarati in precedenza</w:t>
                  </w:r>
                  <w:r w:rsidR="000B714B">
                    <w:rPr>
                      <w:i/>
                    </w:rPr>
                    <w:t>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333333"/>
          <w:sz w:val="21"/>
          <w:szCs w:val="21"/>
        </w:rPr>
        <w:pict>
          <v:rect id="_x0000_s1033" style="position:absolute;margin-left:145.8pt;margin-top:10.65pt;width:222pt;height:101.65pt;z-index:251663360">
            <v:textbox>
              <w:txbxContent>
                <w:p w:rsidR="00F4105F" w:rsidRPr="00E32EAC" w:rsidRDefault="00F4105F" w:rsidP="00E32EAC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</w:rPr>
                  </w:pPr>
                  <w:r w:rsidRPr="00E32EAC">
                    <w:rPr>
                      <w:b/>
                    </w:rPr>
                    <w:t>I docenti che chiedono il reinserimento</w:t>
                  </w:r>
                  <w:r w:rsidR="00870A6C" w:rsidRPr="00E32EAC">
                    <w:rPr>
                      <w:b/>
                    </w:rPr>
                    <w:t>:</w:t>
                  </w:r>
                </w:p>
                <w:p w:rsidR="00E32EAC" w:rsidRDefault="00E32EAC" w:rsidP="000B714B">
                  <w:pPr>
                    <w:jc w:val="center"/>
                    <w:rPr>
                      <w:i/>
                      <w:sz w:val="4"/>
                      <w:szCs w:val="4"/>
                    </w:rPr>
                  </w:pPr>
                </w:p>
                <w:p w:rsidR="00E32EAC" w:rsidRDefault="00E32EAC" w:rsidP="000B714B">
                  <w:pPr>
                    <w:jc w:val="center"/>
                    <w:rPr>
                      <w:i/>
                      <w:sz w:val="4"/>
                      <w:szCs w:val="4"/>
                    </w:rPr>
                  </w:pPr>
                </w:p>
                <w:p w:rsidR="00E32EAC" w:rsidRDefault="00E32EAC" w:rsidP="000B714B">
                  <w:pPr>
                    <w:jc w:val="center"/>
                    <w:rPr>
                      <w:i/>
                      <w:sz w:val="4"/>
                      <w:szCs w:val="4"/>
                    </w:rPr>
                  </w:pPr>
                </w:p>
                <w:p w:rsidR="00E32EAC" w:rsidRDefault="00E32EAC" w:rsidP="000B714B">
                  <w:pPr>
                    <w:jc w:val="center"/>
                    <w:rPr>
                      <w:i/>
                      <w:sz w:val="4"/>
                      <w:szCs w:val="4"/>
                    </w:rPr>
                  </w:pPr>
                </w:p>
                <w:p w:rsidR="00F4105F" w:rsidRPr="00870A6C" w:rsidRDefault="00870A6C" w:rsidP="000B714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d</w:t>
                  </w:r>
                  <w:r w:rsidR="00F4105F" w:rsidRPr="00870A6C">
                    <w:rPr>
                      <w:i/>
                    </w:rPr>
                    <w:t>ovranno aggiungere solo i titoli ed i servizi acquisiti dopo la data di cancellazione dalle GAE. Si possono dichiarare titoli e servizi precedenti a tale data solo se mai dichiarati in precedenza</w:t>
                  </w:r>
                </w:p>
              </w:txbxContent>
            </v:textbox>
          </v:rect>
        </w:pict>
      </w:r>
      <w:r w:rsidR="00E32EAC"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         </w:t>
      </w:r>
      <w:r w:rsidR="00D53BAC">
        <w:rPr>
          <w:rFonts w:ascii="Arial" w:hAnsi="Arial" w:cs="Arial"/>
          <w:color w:val="333333"/>
          <w:sz w:val="21"/>
          <w:szCs w:val="21"/>
        </w:rPr>
        <w:br/>
      </w:r>
    </w:p>
    <w:p w:rsidR="00F4105F" w:rsidRDefault="00F4105F" w:rsidP="00D53BAC">
      <w:pPr>
        <w:rPr>
          <w:rFonts w:ascii="Arial" w:hAnsi="Arial" w:cs="Arial"/>
          <w:color w:val="333333"/>
          <w:sz w:val="21"/>
          <w:szCs w:val="21"/>
        </w:rPr>
      </w:pPr>
    </w:p>
    <w:p w:rsidR="00F4105F" w:rsidRDefault="00F4105F" w:rsidP="00D53BAC">
      <w:pPr>
        <w:rPr>
          <w:rFonts w:ascii="Arial" w:hAnsi="Arial" w:cs="Arial"/>
          <w:color w:val="333333"/>
          <w:sz w:val="21"/>
          <w:szCs w:val="21"/>
        </w:rPr>
      </w:pPr>
    </w:p>
    <w:p w:rsidR="00F4105F" w:rsidRDefault="00F4105F" w:rsidP="00D53BAC">
      <w:pPr>
        <w:rPr>
          <w:rFonts w:ascii="Arial" w:hAnsi="Arial" w:cs="Arial"/>
          <w:color w:val="333333"/>
          <w:sz w:val="21"/>
          <w:szCs w:val="21"/>
        </w:rPr>
      </w:pPr>
    </w:p>
    <w:p w:rsidR="00F4105F" w:rsidRDefault="00F4105F" w:rsidP="00D53BAC">
      <w:pPr>
        <w:rPr>
          <w:rFonts w:ascii="Arial" w:hAnsi="Arial" w:cs="Arial"/>
          <w:color w:val="333333"/>
          <w:sz w:val="21"/>
          <w:szCs w:val="21"/>
        </w:rPr>
      </w:pPr>
    </w:p>
    <w:p w:rsidR="00F4105F" w:rsidRDefault="00F4105F" w:rsidP="00D53BAC">
      <w:pPr>
        <w:rPr>
          <w:rFonts w:ascii="Arial" w:hAnsi="Arial" w:cs="Arial"/>
          <w:color w:val="333333"/>
          <w:sz w:val="21"/>
          <w:szCs w:val="21"/>
        </w:rPr>
      </w:pPr>
    </w:p>
    <w:p w:rsidR="00F4105F" w:rsidRDefault="00F4105F" w:rsidP="00D53BAC">
      <w:pPr>
        <w:rPr>
          <w:rFonts w:ascii="Arial" w:hAnsi="Arial" w:cs="Arial"/>
          <w:color w:val="333333"/>
          <w:sz w:val="21"/>
          <w:szCs w:val="21"/>
        </w:rPr>
      </w:pPr>
    </w:p>
    <w:p w:rsidR="00870A6C" w:rsidRDefault="00870A6C" w:rsidP="00D53BAC">
      <w:pPr>
        <w:rPr>
          <w:rFonts w:ascii="Arial" w:hAnsi="Arial" w:cs="Arial"/>
          <w:color w:val="333333"/>
          <w:sz w:val="21"/>
          <w:szCs w:val="21"/>
        </w:rPr>
      </w:pPr>
    </w:p>
    <w:p w:rsidR="00E32EAC" w:rsidRDefault="00E32EAC" w:rsidP="00B84A81">
      <w:pPr>
        <w:rPr>
          <w:rFonts w:ascii="Arial" w:hAnsi="Arial" w:cs="Arial"/>
          <w:color w:val="333333"/>
          <w:sz w:val="21"/>
          <w:szCs w:val="21"/>
        </w:rPr>
      </w:pPr>
    </w:p>
    <w:p w:rsidR="00447D66" w:rsidRPr="00E32EAC" w:rsidRDefault="00B84A81" w:rsidP="00B84A81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E32EAC">
        <w:rPr>
          <w:rFonts w:ascii="Arial" w:hAnsi="Arial" w:cs="Arial"/>
          <w:sz w:val="20"/>
          <w:szCs w:val="20"/>
        </w:rPr>
        <w:t xml:space="preserve">                           </w:t>
      </w:r>
    </w:p>
    <w:p w:rsidR="000B714B" w:rsidRPr="000B714B" w:rsidRDefault="000B714B" w:rsidP="000B714B">
      <w:pPr>
        <w:jc w:val="center"/>
        <w:rPr>
          <w:rFonts w:ascii="Arial" w:hAnsi="Arial" w:cs="Arial"/>
          <w:b/>
          <w:sz w:val="32"/>
          <w:szCs w:val="32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t>Non rischiare</w:t>
      </w:r>
      <w:r w:rsidRPr="000B714B">
        <w:rPr>
          <w:rFonts w:ascii="Arial" w:hAnsi="Arial" w:cs="Arial"/>
          <w:b/>
          <w:sz w:val="32"/>
          <w:szCs w:val="32"/>
          <w:u w:val="double"/>
        </w:rPr>
        <w:t xml:space="preserve">: </w:t>
      </w:r>
      <w:r>
        <w:rPr>
          <w:rFonts w:ascii="Arial" w:hAnsi="Arial" w:cs="Arial"/>
          <w:b/>
          <w:sz w:val="32"/>
          <w:szCs w:val="32"/>
          <w:u w:val="double"/>
        </w:rPr>
        <w:t xml:space="preserve">  </w:t>
      </w:r>
      <w:r w:rsidRPr="000B714B">
        <w:rPr>
          <w:rFonts w:ascii="Arial" w:hAnsi="Arial" w:cs="Arial"/>
          <w:b/>
          <w:sz w:val="32"/>
          <w:szCs w:val="32"/>
          <w:u w:val="double"/>
        </w:rPr>
        <w:t xml:space="preserve">compila la domanda insieme a noi!! </w:t>
      </w:r>
    </w:p>
    <w:p w:rsidR="000B714B" w:rsidRDefault="000B714B" w:rsidP="000B714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Prendi un appuntamento con Cisl Scuola (sedi centrali o periferiche) </w:t>
      </w:r>
    </w:p>
    <w:p w:rsidR="00447D66" w:rsidRPr="00E32EAC" w:rsidRDefault="000B714B" w:rsidP="00E32E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 non affidarti ai rischi di una comp</w:t>
      </w:r>
      <w:r w:rsidR="00E32EAC">
        <w:rPr>
          <w:rFonts w:ascii="Arial" w:hAnsi="Arial" w:cs="Arial"/>
          <w:b/>
          <w:sz w:val="20"/>
          <w:szCs w:val="20"/>
        </w:rPr>
        <w:t>ilazione inesatta o incompleta</w:t>
      </w:r>
      <w:r>
        <w:rPr>
          <w:rFonts w:ascii="Arial" w:hAnsi="Arial" w:cs="Arial"/>
          <w:b/>
          <w:sz w:val="20"/>
          <w:szCs w:val="20"/>
        </w:rPr>
        <w:t>.</w:t>
      </w: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AF4FB8" w:rsidRDefault="00AF4FB8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AF4FB8" w:rsidRPr="00AF4FB8" w:rsidRDefault="00AF4FB8" w:rsidP="00AF4FB8">
      <w:pPr>
        <w:rPr>
          <w:rFonts w:ascii="Calibri" w:eastAsiaTheme="minorEastAsia" w:hAnsi="Calibri" w:cs="Calibri"/>
          <w:bCs/>
          <w:i/>
          <w:color w:val="000000"/>
          <w:sz w:val="20"/>
          <w:szCs w:val="20"/>
        </w:rPr>
      </w:pPr>
    </w:p>
    <w:p w:rsidR="00AF4FB8" w:rsidRPr="00AF4FB8" w:rsidRDefault="00AF4FB8" w:rsidP="00AF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itannic Bold" w:eastAsiaTheme="minorEastAsia" w:hAnsi="Britannic Bold" w:cstheme="minorBidi"/>
          <w:b/>
          <w:color w:val="4F6228" w:themeColor="accent3" w:themeShade="80"/>
        </w:rPr>
      </w:pPr>
      <w:r w:rsidRPr="00AF4FB8">
        <w:rPr>
          <w:rFonts w:ascii="Britannic Bold" w:eastAsiaTheme="minorEastAsia" w:hAnsi="Britannic Bold" w:cstheme="minorBidi"/>
          <w:b/>
          <w:color w:val="4F6228" w:themeColor="accent3" w:themeShade="80"/>
        </w:rPr>
        <w:t>CISL SCUOLA EMILIA CENTRALE</w:t>
      </w:r>
    </w:p>
    <w:p w:rsidR="00AF4FB8" w:rsidRPr="00AF4FB8" w:rsidRDefault="00AF4FB8" w:rsidP="00AF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b/>
          <w:color w:val="4F6228" w:themeColor="accent3" w:themeShade="80"/>
          <w:sz w:val="22"/>
          <w:szCs w:val="22"/>
        </w:rPr>
      </w:pPr>
      <w:r w:rsidRPr="00AF4FB8">
        <w:rPr>
          <w:rFonts w:asciiTheme="minorHAnsi" w:eastAsiaTheme="minorEastAsia" w:hAnsiTheme="minorHAnsi" w:cstheme="minorBidi"/>
          <w:b/>
          <w:color w:val="4F6228" w:themeColor="accent3" w:themeShade="80"/>
          <w:sz w:val="22"/>
          <w:szCs w:val="22"/>
        </w:rPr>
        <w:t>Via Emilia Ovest, 101      41124 MODENA                                    Via Turri, 71      42123 REGGIO EMILIA</w:t>
      </w:r>
    </w:p>
    <w:p w:rsidR="00AF4FB8" w:rsidRPr="00AF4FB8" w:rsidRDefault="00AF4FB8" w:rsidP="00AF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color w:val="4F6228" w:themeColor="accent3" w:themeShade="80"/>
          <w:sz w:val="22"/>
          <w:szCs w:val="22"/>
        </w:rPr>
      </w:pPr>
      <w:r w:rsidRPr="00AF4FB8">
        <w:rPr>
          <w:rFonts w:asciiTheme="minorHAnsi" w:eastAsiaTheme="minorEastAsia" w:hAnsiTheme="minorHAnsi" w:cstheme="minorBidi"/>
          <w:b/>
          <w:color w:val="4F6228" w:themeColor="accent3" w:themeShade="80"/>
          <w:sz w:val="22"/>
          <w:szCs w:val="22"/>
        </w:rPr>
        <w:t xml:space="preserve">             Tel.  059/890883          Fax 059/820742                               Tel.   0522/357465-466     Fax:   0522/357469</w:t>
      </w:r>
    </w:p>
    <w:p w:rsidR="00AF4FB8" w:rsidRPr="00AF4FB8" w:rsidRDefault="00AF4FB8" w:rsidP="00AF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color w:val="4F6228" w:themeColor="accent3" w:themeShade="80"/>
          <w:sz w:val="22"/>
          <w:szCs w:val="22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p w:rsidR="00447D66" w:rsidRDefault="00447D66" w:rsidP="00B84A81">
      <w:pPr>
        <w:rPr>
          <w:rFonts w:ascii="Arial" w:hAnsi="Arial" w:cs="Arial"/>
          <w:sz w:val="20"/>
          <w:szCs w:val="20"/>
        </w:rPr>
      </w:pPr>
    </w:p>
    <w:sectPr w:rsidR="00447D66" w:rsidSect="00E32EAC">
      <w:pgSz w:w="11906" w:h="16838"/>
      <w:pgMar w:top="28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14392"/>
    <w:multiLevelType w:val="hybridMultilevel"/>
    <w:tmpl w:val="536A62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F5110"/>
    <w:multiLevelType w:val="hybridMultilevel"/>
    <w:tmpl w:val="81F882C6"/>
    <w:lvl w:ilvl="0" w:tplc="D2DCB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5F26"/>
    <w:multiLevelType w:val="hybridMultilevel"/>
    <w:tmpl w:val="3918CF2C"/>
    <w:lvl w:ilvl="0" w:tplc="02C0E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5113A"/>
    <w:multiLevelType w:val="multilevel"/>
    <w:tmpl w:val="0578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0A07"/>
    <w:rsid w:val="000033C8"/>
    <w:rsid w:val="00034E97"/>
    <w:rsid w:val="00044B3C"/>
    <w:rsid w:val="00074BA5"/>
    <w:rsid w:val="000B714B"/>
    <w:rsid w:val="000C16E4"/>
    <w:rsid w:val="000F0BE9"/>
    <w:rsid w:val="00102A9C"/>
    <w:rsid w:val="001A78CB"/>
    <w:rsid w:val="00211F6D"/>
    <w:rsid w:val="00270FED"/>
    <w:rsid w:val="00280C61"/>
    <w:rsid w:val="002B2828"/>
    <w:rsid w:val="002C0287"/>
    <w:rsid w:val="002C6696"/>
    <w:rsid w:val="003303C5"/>
    <w:rsid w:val="00381897"/>
    <w:rsid w:val="003B5A9A"/>
    <w:rsid w:val="00447D66"/>
    <w:rsid w:val="00465FD8"/>
    <w:rsid w:val="00492EF8"/>
    <w:rsid w:val="004C7176"/>
    <w:rsid w:val="0052306A"/>
    <w:rsid w:val="00535F3A"/>
    <w:rsid w:val="00540E83"/>
    <w:rsid w:val="00590A07"/>
    <w:rsid w:val="005B515C"/>
    <w:rsid w:val="00677045"/>
    <w:rsid w:val="006B3CCC"/>
    <w:rsid w:val="006D09CA"/>
    <w:rsid w:val="007403EB"/>
    <w:rsid w:val="00757A0A"/>
    <w:rsid w:val="007D6851"/>
    <w:rsid w:val="008263B1"/>
    <w:rsid w:val="00870A6C"/>
    <w:rsid w:val="00874B17"/>
    <w:rsid w:val="0089751D"/>
    <w:rsid w:val="00897609"/>
    <w:rsid w:val="008A5FC8"/>
    <w:rsid w:val="008D5D66"/>
    <w:rsid w:val="008E42D9"/>
    <w:rsid w:val="008F3222"/>
    <w:rsid w:val="008F691B"/>
    <w:rsid w:val="009031E8"/>
    <w:rsid w:val="009104B9"/>
    <w:rsid w:val="00934D02"/>
    <w:rsid w:val="009661D5"/>
    <w:rsid w:val="00A118DF"/>
    <w:rsid w:val="00A50873"/>
    <w:rsid w:val="00AD3F15"/>
    <w:rsid w:val="00AF4FB8"/>
    <w:rsid w:val="00B0427E"/>
    <w:rsid w:val="00B84A81"/>
    <w:rsid w:val="00BD6BBD"/>
    <w:rsid w:val="00C5427F"/>
    <w:rsid w:val="00C7531F"/>
    <w:rsid w:val="00CB166A"/>
    <w:rsid w:val="00CC7BE2"/>
    <w:rsid w:val="00CF122A"/>
    <w:rsid w:val="00D01B54"/>
    <w:rsid w:val="00D53BAC"/>
    <w:rsid w:val="00D774A8"/>
    <w:rsid w:val="00D94522"/>
    <w:rsid w:val="00DE6B77"/>
    <w:rsid w:val="00E154F2"/>
    <w:rsid w:val="00E32EAC"/>
    <w:rsid w:val="00E730C4"/>
    <w:rsid w:val="00E74BCB"/>
    <w:rsid w:val="00E943AA"/>
    <w:rsid w:val="00EB4E68"/>
    <w:rsid w:val="00F4105F"/>
    <w:rsid w:val="00F459D2"/>
    <w:rsid w:val="00F55F7C"/>
    <w:rsid w:val="00F9349A"/>
    <w:rsid w:val="00F96C80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0A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rsid w:val="00DE6B7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E83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D53BA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53B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F494-574C-4477-BB2A-5F1A6612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lfracassi</dc:creator>
  <cp:lastModifiedBy>lfracassi</cp:lastModifiedBy>
  <cp:revision>3</cp:revision>
  <cp:lastPrinted>2019-04-30T08:31:00Z</cp:lastPrinted>
  <dcterms:created xsi:type="dcterms:W3CDTF">2019-04-29T20:45:00Z</dcterms:created>
  <dcterms:modified xsi:type="dcterms:W3CDTF">2019-04-30T08:33:00Z</dcterms:modified>
</cp:coreProperties>
</file>